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04A" w:rsidRDefault="008D11C7">
      <w:pPr>
        <w:pBdr>
          <w:right w:val="single" w:sz="8" w:space="0" w:color="DCE6F0"/>
        </w:pBdr>
        <w:spacing w:after="59" w:line="259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ENTENDIMENTO DO AMBIENTE DE CONTROLE EM QUE O OBJETO ESTÁ INSERIDO</w:t>
      </w:r>
    </w:p>
    <w:p w:rsidR="0009304A" w:rsidRDefault="0009304A">
      <w:pPr>
        <w:widowControl w:val="0"/>
        <w:spacing w:before="58" w:after="0" w:line="240" w:lineRule="auto"/>
        <w:ind w:left="0" w:firstLine="0"/>
        <w:jc w:val="left"/>
        <w:rPr>
          <w:rFonts w:ascii="Arial" w:eastAsia="Arial" w:hAnsi="Arial" w:cs="Arial"/>
          <w:b/>
          <w:color w:val="000000"/>
          <w:sz w:val="20"/>
          <w:szCs w:val="20"/>
        </w:rPr>
      </w:pPr>
    </w:p>
    <w:tbl>
      <w:tblPr>
        <w:tblStyle w:val="a4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6660"/>
      </w:tblGrid>
      <w:tr w:rsidR="0009304A">
        <w:tc>
          <w:tcPr>
            <w:tcW w:w="2370" w:type="dxa"/>
            <w:shd w:val="clear" w:color="auto" w:fill="CCCCCC"/>
          </w:tcPr>
          <w:p w:rsidR="0009304A" w:rsidRDefault="008D11C7">
            <w:pPr>
              <w:widowControl w:val="0"/>
              <w:spacing w:before="58"/>
              <w:ind w:left="0" w:firstLine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UNIDADE JURISDICIONADA</w:t>
            </w:r>
          </w:p>
        </w:tc>
        <w:tc>
          <w:tcPr>
            <w:tcW w:w="6660" w:type="dxa"/>
            <w:shd w:val="clear" w:color="auto" w:fill="auto"/>
          </w:tcPr>
          <w:p w:rsidR="0009304A" w:rsidRDefault="0009304A">
            <w:pPr>
              <w:widowControl w:val="0"/>
              <w:spacing w:before="58"/>
              <w:ind w:left="0" w:firstLine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9304A">
        <w:tc>
          <w:tcPr>
            <w:tcW w:w="2370" w:type="dxa"/>
            <w:shd w:val="clear" w:color="auto" w:fill="CCCCCC"/>
          </w:tcPr>
          <w:p w:rsidR="0009304A" w:rsidRDefault="008D11C7">
            <w:pPr>
              <w:widowControl w:val="0"/>
              <w:spacing w:before="58"/>
              <w:ind w:left="0" w:firstLine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  <w:bookmarkStart w:id="0" w:name="_GoBack"/>
            <w:bookmarkEnd w:id="0"/>
          </w:p>
        </w:tc>
        <w:tc>
          <w:tcPr>
            <w:tcW w:w="6660" w:type="dxa"/>
            <w:shd w:val="clear" w:color="auto" w:fill="auto"/>
          </w:tcPr>
          <w:p w:rsidR="0009304A" w:rsidRDefault="0009304A">
            <w:pPr>
              <w:widowControl w:val="0"/>
              <w:spacing w:before="58"/>
              <w:ind w:left="0" w:firstLine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09304A" w:rsidRDefault="0009304A">
      <w:pPr>
        <w:spacing w:after="74" w:line="248" w:lineRule="auto"/>
        <w:ind w:left="-3" w:hanging="10"/>
        <w:rPr>
          <w:rFonts w:ascii="Arial" w:eastAsia="Arial" w:hAnsi="Arial" w:cs="Arial"/>
          <w:sz w:val="20"/>
          <w:szCs w:val="20"/>
        </w:rPr>
      </w:pPr>
    </w:p>
    <w:tbl>
      <w:tblPr>
        <w:tblStyle w:val="a5"/>
        <w:tblW w:w="9031" w:type="dxa"/>
        <w:tblInd w:w="21" w:type="dxa"/>
        <w:tblBorders>
          <w:top w:val="single" w:sz="12" w:space="0" w:color="C7332C"/>
          <w:left w:val="single" w:sz="12" w:space="0" w:color="C7332C"/>
          <w:bottom w:val="single" w:sz="12" w:space="0" w:color="C7332C"/>
          <w:right w:val="single" w:sz="12" w:space="0" w:color="C7332C"/>
        </w:tblBorders>
        <w:tblLayout w:type="fixed"/>
        <w:tblLook w:val="0400" w:firstRow="0" w:lastRow="0" w:firstColumn="0" w:lastColumn="0" w:noHBand="0" w:noVBand="1"/>
      </w:tblPr>
      <w:tblGrid>
        <w:gridCol w:w="5111"/>
        <w:gridCol w:w="3920"/>
      </w:tblGrid>
      <w:tr w:rsidR="0009304A">
        <w:trPr>
          <w:trHeight w:val="326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</w:tcPr>
          <w:p w:rsidR="0009304A" w:rsidRDefault="008D11C7">
            <w:pPr>
              <w:tabs>
                <w:tab w:val="left" w:pos="306"/>
              </w:tabs>
              <w:spacing w:line="360" w:lineRule="auto"/>
              <w:ind w:left="164" w:hanging="107"/>
              <w:jc w:val="center"/>
              <w:rPr>
                <w:rFonts w:ascii="Arial" w:eastAsia="Arial" w:hAnsi="Arial" w:cs="Arial"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Componentes de controles internos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</w:tcPr>
          <w:p w:rsidR="0009304A" w:rsidRDefault="008D11C7">
            <w:pPr>
              <w:spacing w:line="360" w:lineRule="auto"/>
              <w:ind w:left="0" w:right="46" w:firstLine="0"/>
              <w:jc w:val="center"/>
              <w:rPr>
                <w:rFonts w:ascii="Arial" w:eastAsia="Arial" w:hAnsi="Arial" w:cs="Arial"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Descrição</w:t>
            </w:r>
          </w:p>
        </w:tc>
      </w:tr>
      <w:tr w:rsidR="000A19DC">
        <w:trPr>
          <w:trHeight w:val="52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DC" w:rsidRPr="00FC3B3D" w:rsidRDefault="00FC3B3D" w:rsidP="00FC3B3D">
            <w:pPr>
              <w:pStyle w:val="PargrafodaLista"/>
              <w:numPr>
                <w:ilvl w:val="0"/>
                <w:numId w:val="1"/>
              </w:numPr>
              <w:tabs>
                <w:tab w:val="left" w:pos="306"/>
              </w:tabs>
              <w:spacing w:line="259" w:lineRule="auto"/>
              <w:ind w:right="15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Há </w:t>
            </w:r>
            <w:r w:rsidR="000A19DC" w:rsidRPr="00FC3B3D">
              <w:rPr>
                <w:rFonts w:ascii="Arial" w:eastAsia="Arial" w:hAnsi="Arial" w:cs="Arial"/>
                <w:color w:val="000000"/>
                <w:sz w:val="20"/>
                <w:szCs w:val="20"/>
              </w:rPr>
              <w:t>institucionalização formal da política pública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0A19DC" w:rsidRPr="00FC3B3D">
              <w:rPr>
                <w:rFonts w:ascii="Arial" w:eastAsia="Arial" w:hAnsi="Arial" w:cs="Arial"/>
                <w:color w:val="000000"/>
                <w:sz w:val="20"/>
                <w:szCs w:val="20"/>
              </w:rPr>
              <w:t>por meio de norma legal (lei, decreto, resolução etc.) apropriada, emitida por órgão dotado de legitimidade e competência para fazê-lo, e na qual normatize-se a atuação dos diversos órgãos, instituições e esferas de governo envolvidos</w:t>
            </w:r>
            <w:r w:rsidR="008D11C7"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DC" w:rsidRDefault="000A19DC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9304A">
        <w:trPr>
          <w:trHeight w:val="52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Pr="00FC3B3D" w:rsidRDefault="008D11C7" w:rsidP="00FC3B3D">
            <w:pPr>
              <w:pStyle w:val="PargrafodaLista"/>
              <w:numPr>
                <w:ilvl w:val="0"/>
                <w:numId w:val="1"/>
              </w:numPr>
              <w:tabs>
                <w:tab w:val="left" w:pos="306"/>
              </w:tabs>
              <w:spacing w:line="259" w:lineRule="auto"/>
              <w:ind w:right="15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C3B3D"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Há definição clara</w:t>
            </w:r>
            <w:r w:rsidR="00FC3B3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e formal</w:t>
            </w:r>
            <w:r w:rsidRPr="00FC3B3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de responsabilidades, competências e atribuições</w:t>
            </w:r>
            <w:r w:rsidR="00C5372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dentro da política</w:t>
            </w:r>
            <w:r w:rsidRPr="00FC3B3D"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09304A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9304A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AC7FB7">
            <w:pPr>
              <w:tabs>
                <w:tab w:val="left" w:pos="306"/>
              </w:tabs>
              <w:spacing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  <w:r w:rsidR="008D11C7">
              <w:rPr>
                <w:rFonts w:ascii="Arial" w:eastAsia="Arial" w:hAnsi="Arial" w:cs="Arial"/>
                <w:color w:val="000000"/>
                <w:sz w:val="20"/>
                <w:szCs w:val="20"/>
              </w:rPr>
              <w:t>. Os deveres e responsabilidades essenciais à operacionalização d</w:t>
            </w:r>
            <w:r w:rsidR="000D41B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a política </w:t>
            </w:r>
            <w:r w:rsidR="008D11C7">
              <w:rPr>
                <w:rFonts w:ascii="Arial" w:eastAsia="Arial" w:hAnsi="Arial" w:cs="Arial"/>
                <w:color w:val="000000"/>
                <w:sz w:val="20"/>
                <w:szCs w:val="20"/>
              </w:rPr>
              <w:t>são divididos ou segregados entre diferentes pessoas para reduzir o risco de ocorrerem erros, desperdícios ou fraudes?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09304A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9304A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8D11C7">
            <w:pPr>
              <w:tabs>
                <w:tab w:val="left" w:pos="306"/>
              </w:tabs>
              <w:spacing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4. Todos os procedimentos e instruções operacionais referentes </w:t>
            </w:r>
            <w:r w:rsidR="000D41B2">
              <w:rPr>
                <w:rFonts w:ascii="Arial" w:eastAsia="Arial" w:hAnsi="Arial" w:cs="Arial"/>
                <w:color w:val="000000"/>
                <w:sz w:val="20"/>
                <w:szCs w:val="20"/>
              </w:rPr>
              <w:t>à política avaliada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são padronizados formalmente?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09304A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9304A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8D11C7">
            <w:pPr>
              <w:tabs>
                <w:tab w:val="left" w:pos="306"/>
              </w:tabs>
              <w:spacing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Os possíveis riscos que afetam </w:t>
            </w:r>
            <w:r w:rsidR="000D41B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a política pública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avaliad</w:t>
            </w:r>
            <w:r w:rsidR="000D41B2"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foram identificados, e se existem ações para mitigá-los?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09304A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9304A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8D11C7">
            <w:pPr>
              <w:tabs>
                <w:tab w:val="left" w:pos="306"/>
              </w:tabs>
              <w:spacing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Na ocorrência de indícios de fraudes e desvios em relação </w:t>
            </w:r>
            <w:r w:rsidR="000D41B2">
              <w:rPr>
                <w:rFonts w:ascii="Arial" w:eastAsia="Arial" w:hAnsi="Arial" w:cs="Arial"/>
                <w:color w:val="000000"/>
                <w:sz w:val="20"/>
                <w:szCs w:val="20"/>
              </w:rPr>
              <w:t>à política pública avaliada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é prática da unidade responsável instaurar sindicância para apurar responsabilidades e exigir ressarcimentos?</w:t>
            </w:r>
          </w:p>
          <w:p w:rsidR="0009304A" w:rsidRDefault="0009304A">
            <w:pPr>
              <w:tabs>
                <w:tab w:val="left" w:pos="306"/>
              </w:tabs>
              <w:spacing w:line="259" w:lineRule="auto"/>
              <w:ind w:left="57" w:right="153" w:firstLine="0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09304A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9304A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8D11C7">
            <w:pPr>
              <w:tabs>
                <w:tab w:val="left" w:pos="306"/>
              </w:tabs>
              <w:spacing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7. Quando necessário, os gestores determinam ações corretivas com vistas ao aperfeiçoamento da estrutura de controle interno referente </w:t>
            </w:r>
            <w:r w:rsidR="000D41B2">
              <w:rPr>
                <w:rFonts w:ascii="Arial" w:eastAsia="Arial" w:hAnsi="Arial" w:cs="Arial"/>
                <w:color w:val="000000"/>
                <w:sz w:val="20"/>
                <w:szCs w:val="20"/>
              </w:rPr>
              <w:t>à política pública avaliada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09304A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9304A">
        <w:trPr>
          <w:trHeight w:val="96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8D11C7">
            <w:pPr>
              <w:tabs>
                <w:tab w:val="left" w:pos="306"/>
              </w:tabs>
              <w:spacing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8. As informações consideradas relevantes para </w:t>
            </w:r>
            <w:r w:rsidR="000D41B2">
              <w:rPr>
                <w:rFonts w:ascii="Arial" w:eastAsia="Arial" w:hAnsi="Arial" w:cs="Arial"/>
                <w:color w:val="000000"/>
                <w:sz w:val="20"/>
                <w:szCs w:val="20"/>
              </w:rPr>
              <w:t>a política pública avaliada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são devidamente identificadas, documentadas, armazenadas e comunicadas tempestivamente às pessoas adequadas?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09304A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9304A">
        <w:trPr>
          <w:trHeight w:val="96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8D11C7">
            <w:pPr>
              <w:spacing w:line="259" w:lineRule="auto"/>
              <w:ind w:left="300" w:right="153" w:hanging="30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9. Existem padrões para medir periodicamente o desempenho dos objetivos e metas do </w:t>
            </w:r>
            <w:r w:rsidR="000D41B2">
              <w:rPr>
                <w:rFonts w:ascii="Arial" w:eastAsia="Arial" w:hAnsi="Arial" w:cs="Arial"/>
                <w:color w:val="000000"/>
                <w:sz w:val="20"/>
                <w:szCs w:val="20"/>
              </w:rPr>
              <w:t>da política avaliada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</w:p>
          <w:p w:rsidR="0009304A" w:rsidRDefault="0009304A">
            <w:pPr>
              <w:tabs>
                <w:tab w:val="left" w:pos="306"/>
              </w:tabs>
              <w:spacing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09304A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9304A">
        <w:trPr>
          <w:trHeight w:val="96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8D11C7">
            <w:pPr>
              <w:spacing w:line="259" w:lineRule="auto"/>
              <w:ind w:left="300" w:right="153" w:hanging="30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10. Quando necessário, os gestores determinam ações corretivas com vistas ao alcance de metas do objeto </w:t>
            </w:r>
            <w:r w:rsidR="000D41B2">
              <w:rPr>
                <w:rFonts w:ascii="Arial" w:eastAsia="Arial" w:hAnsi="Arial" w:cs="Arial"/>
                <w:color w:val="000000"/>
                <w:sz w:val="20"/>
                <w:szCs w:val="20"/>
              </w:rPr>
              <w:t>da política pública avaliada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09304A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09304A" w:rsidRDefault="0009304A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6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065"/>
      </w:tblGrid>
      <w:tr w:rsidR="0009304A">
        <w:tc>
          <w:tcPr>
            <w:tcW w:w="1995" w:type="dxa"/>
            <w:shd w:val="clear" w:color="auto" w:fill="CCCCCC"/>
          </w:tcPr>
          <w:p w:rsidR="0009304A" w:rsidRDefault="008D11C7">
            <w:pPr>
              <w:widowControl w:val="0"/>
              <w:spacing w:before="57" w:after="57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COORDENADOR</w:t>
            </w:r>
          </w:p>
        </w:tc>
        <w:tc>
          <w:tcPr>
            <w:tcW w:w="7065" w:type="dxa"/>
            <w:shd w:val="clear" w:color="auto" w:fill="auto"/>
          </w:tcPr>
          <w:p w:rsidR="0009304A" w:rsidRDefault="0009304A">
            <w:pPr>
              <w:widowControl w:val="0"/>
              <w:spacing w:before="57" w:after="57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09304A">
        <w:tc>
          <w:tcPr>
            <w:tcW w:w="9060" w:type="dxa"/>
            <w:gridSpan w:val="2"/>
            <w:shd w:val="clear" w:color="auto" w:fill="auto"/>
          </w:tcPr>
          <w:p w:rsidR="0009304A" w:rsidRDefault="008D11C7">
            <w:pPr>
              <w:widowControl w:val="0"/>
              <w:spacing w:before="57" w:after="57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EQUIPE:</w:t>
            </w:r>
          </w:p>
          <w:p w:rsidR="0009304A" w:rsidRDefault="008D11C7">
            <w:pPr>
              <w:widowControl w:val="0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XXXX</w:t>
            </w:r>
          </w:p>
          <w:p w:rsidR="0009304A" w:rsidRDefault="008D11C7">
            <w:pPr>
              <w:widowControl w:val="0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YYYY</w:t>
            </w:r>
          </w:p>
          <w:p w:rsidR="0009304A" w:rsidRDefault="008D11C7">
            <w:pPr>
              <w:widowControl w:val="0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ZZZZ</w:t>
            </w:r>
          </w:p>
        </w:tc>
      </w:tr>
    </w:tbl>
    <w:p w:rsidR="0009304A" w:rsidRDefault="008D11C7">
      <w:pPr>
        <w:widowControl w:val="0"/>
        <w:spacing w:before="57" w:after="57" w:line="240" w:lineRule="auto"/>
        <w:ind w:left="0" w:firstLine="0"/>
        <w:rPr>
          <w:rFonts w:ascii="Arial" w:eastAsia="Arial" w:hAnsi="Arial" w:cs="Arial"/>
          <w:sz w:val="20"/>
          <w:szCs w:val="20"/>
        </w:rPr>
      </w:pPr>
      <w:r>
        <w:br w:type="page"/>
      </w:r>
    </w:p>
    <w:p w:rsidR="0009304A" w:rsidRDefault="0009304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68" w:lineRule="auto"/>
        <w:ind w:left="-2" w:firstLine="0"/>
        <w:jc w:val="left"/>
        <w:rPr>
          <w:rFonts w:ascii="Arial" w:eastAsia="Arial" w:hAnsi="Arial" w:cs="Arial"/>
          <w:b/>
          <w:color w:val="4D6FA3"/>
          <w:sz w:val="16"/>
          <w:szCs w:val="16"/>
        </w:rPr>
      </w:pPr>
    </w:p>
    <w:p w:rsidR="0009304A" w:rsidRDefault="008D11C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68" w:lineRule="auto"/>
        <w:ind w:left="-2" w:firstLine="0"/>
        <w:jc w:val="left"/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t>Orientações para o preenchimento do formulário para o entendimento do ambiente de controle</w:t>
      </w:r>
    </w:p>
    <w:tbl>
      <w:tblPr>
        <w:tblStyle w:val="a7"/>
        <w:tblW w:w="9025" w:type="dxa"/>
        <w:tblInd w:w="20" w:type="dxa"/>
        <w:tblLayout w:type="fixed"/>
        <w:tblLook w:val="0400" w:firstRow="0" w:lastRow="0" w:firstColumn="0" w:lastColumn="0" w:noHBand="0" w:noVBand="1"/>
      </w:tblPr>
      <w:tblGrid>
        <w:gridCol w:w="2021"/>
        <w:gridCol w:w="7004"/>
      </w:tblGrid>
      <w:tr w:rsidR="0009304A">
        <w:trPr>
          <w:trHeight w:val="1027"/>
        </w:trPr>
        <w:tc>
          <w:tcPr>
            <w:tcW w:w="2021" w:type="dxa"/>
            <w:tcBorders>
              <w:top w:val="single" w:sz="12" w:space="0" w:color="6D9EEB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09304A" w:rsidRDefault="008D11C7">
            <w:pPr>
              <w:spacing w:line="259" w:lineRule="auto"/>
              <w:ind w:left="80" w:right="303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preenchimento do formulário</w:t>
            </w:r>
          </w:p>
        </w:tc>
        <w:tc>
          <w:tcPr>
            <w:tcW w:w="7004" w:type="dxa"/>
            <w:tcBorders>
              <w:top w:val="single" w:sz="12" w:space="0" w:color="6D9EEB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09304A" w:rsidRDefault="008D11C7">
            <w:pPr>
              <w:spacing w:line="259" w:lineRule="auto"/>
              <w:ind w:left="5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deste formulário é estabelecer e documentar um entendimento do jurisdicionado e seu ambiente relevante para a auditoria. A ISSAI 4000.134 orienta que o auditor deve obter um entendimento do controle interno da entidade relevante para a auditoria. Quando o objeto é determinado, o auditor identifica os controles internos que estão em vigor para reduzir o risco de não conformidade com critérios ou de distorções relevantes na informação do objeto. Usando julgamento profissional, o auditor decide se um controle é relevante ou não para a auditoria.</w:t>
            </w:r>
          </w:p>
        </w:tc>
      </w:tr>
      <w:tr w:rsidR="0009304A">
        <w:trPr>
          <w:trHeight w:val="328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09304A" w:rsidRDefault="008D11C7">
            <w:pPr>
              <w:spacing w:line="259" w:lineRule="auto"/>
              <w:ind w:left="80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NBASP de referência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09304A" w:rsidRDefault="008D11C7">
            <w:pPr>
              <w:spacing w:line="259" w:lineRule="auto"/>
              <w:ind w:left="137" w:firstLine="0"/>
              <w:jc w:val="lef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NBASP 3000/98</w:t>
            </w:r>
          </w:p>
        </w:tc>
      </w:tr>
      <w:tr w:rsidR="0009304A">
        <w:trPr>
          <w:trHeight w:val="3140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09304A" w:rsidRDefault="008D11C7">
            <w:pPr>
              <w:spacing w:line="259" w:lineRule="auto"/>
              <w:ind w:left="80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Orientações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09304A" w:rsidRDefault="008D11C7">
            <w:pPr>
              <w:spacing w:line="259" w:lineRule="auto"/>
              <w:ind w:left="57" w:right="1" w:firstLine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Os Tribunais de Contas devem promover a instituição e o efetivo funcionamento dos sistemas de controle interno das entidades fiscalizadas. Para entender a entidade auditada ou o objeto, o auditor também precisa entender o sistema de controle 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nterno (NBASP 3000/73).</w:t>
            </w:r>
          </w:p>
          <w:p w:rsidR="0009304A" w:rsidRDefault="0009304A">
            <w:pPr>
              <w:spacing w:line="259" w:lineRule="auto"/>
              <w:ind w:left="57" w:right="1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  <w:p w:rsidR="0009304A" w:rsidRDefault="008D11C7">
            <w:pPr>
              <w:spacing w:line="259" w:lineRule="auto"/>
              <w:ind w:left="57" w:right="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tipo particular de controles sobre o qual o auditor foca dependerá do objeto e da natureza específica e do escopo da auditoria. Como o objeto pode ser qualitativo ou quantitativo, o auditor irá focar em controles internos quantitativos ou qualitativos ou em uma combinação destes, de acordo com o escopo de auditoria. Na avaliação de controles internos, o auditor avalia o risco de eles não prevenirem ou não detectarem casos relevantes de não conformidade e de má gestão. (NBASP 12/21; NBASP 300/37).</w:t>
            </w:r>
          </w:p>
          <w:p w:rsidR="0009304A" w:rsidRDefault="0009304A">
            <w:pPr>
              <w:spacing w:line="259" w:lineRule="auto"/>
              <w:ind w:left="57" w:right="1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  <w:p w:rsidR="0009304A" w:rsidRDefault="008D11C7">
            <w:pPr>
              <w:spacing w:line="259" w:lineRule="auto"/>
              <w:ind w:left="57" w:right="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 papel de trabalho traz um modelo orientativo, podendo ser reformulado de acordo com a entidade e o objeto auditado.  </w:t>
            </w:r>
          </w:p>
        </w:tc>
      </w:tr>
      <w:tr w:rsidR="0009304A">
        <w:trPr>
          <w:trHeight w:val="548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09304A" w:rsidRDefault="008D11C7">
            <w:pPr>
              <w:spacing w:line="259" w:lineRule="auto"/>
              <w:ind w:left="80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Conclusão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09304A" w:rsidRDefault="008D11C7">
            <w:pPr>
              <w:spacing w:line="259" w:lineRule="auto"/>
              <w:ind w:left="57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equipe de auditoria deve formar uma conclusão sobre as áreas significativas do ambiente de controles sob avaliação.</w:t>
            </w:r>
          </w:p>
        </w:tc>
      </w:tr>
      <w:tr w:rsidR="0009304A">
        <w:trPr>
          <w:trHeight w:val="847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12" w:space="0" w:color="6D9EEB"/>
              <w:right w:val="single" w:sz="8" w:space="0" w:color="B6D7A8"/>
            </w:tcBorders>
            <w:shd w:val="clear" w:color="auto" w:fill="D9D9D9"/>
          </w:tcPr>
          <w:p w:rsidR="0009304A" w:rsidRDefault="008D11C7">
            <w:pPr>
              <w:spacing w:line="259" w:lineRule="auto"/>
              <w:ind w:left="80" w:right="655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Evidências do elaborador e do revisor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12" w:space="0" w:color="6D9EEB"/>
              <w:right w:val="single" w:sz="12" w:space="0" w:color="6D9EEB"/>
            </w:tcBorders>
          </w:tcPr>
          <w:p w:rsidR="0009304A" w:rsidRDefault="008D11C7">
            <w:pPr>
              <w:spacing w:line="259" w:lineRule="auto"/>
              <w:ind w:left="5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revisor (geralmente o Coordenador da auditoria) deve assinar o documento para garantir que o trabalho realizado pela equipe tenha sido devidamente revisado.</w:t>
            </w:r>
          </w:p>
        </w:tc>
      </w:tr>
    </w:tbl>
    <w:p w:rsidR="0009304A" w:rsidRDefault="0009304A">
      <w:pPr>
        <w:spacing w:after="0"/>
        <w:rPr>
          <w:rFonts w:ascii="Arial" w:eastAsia="Arial" w:hAnsi="Arial" w:cs="Arial"/>
          <w:sz w:val="16"/>
          <w:szCs w:val="16"/>
        </w:rPr>
      </w:pPr>
    </w:p>
    <w:p w:rsidR="0009304A" w:rsidRDefault="008D11C7">
      <w:pPr>
        <w:spacing w:after="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Nota: Além deste formulário, para entendimento do controle interno da entidade como um todo, a equipe deve analisar o questionário de avaliação de controle interno apresentado pelo próprio jurisdicionado em atendimento a RN n. 6/2019-TCE-GO (art. 18), feito na estrutura integrada do COSO no endereço </w:t>
      </w:r>
      <w:hyperlink r:id="rId8">
        <w:r>
          <w:rPr>
            <w:rFonts w:ascii="Arial" w:eastAsia="Arial" w:hAnsi="Arial" w:cs="Arial"/>
            <w:color w:val="0563C1"/>
            <w:sz w:val="16"/>
            <w:szCs w:val="16"/>
            <w:u w:val="single"/>
          </w:rPr>
          <w:t>https://survey.tce.go.gov.br/index.php/admin/authentication/sa/login</w:t>
        </w:r>
      </w:hyperlink>
      <w:r>
        <w:rPr>
          <w:rFonts w:ascii="Arial" w:eastAsia="Arial" w:hAnsi="Arial" w:cs="Arial"/>
          <w:sz w:val="16"/>
          <w:szCs w:val="16"/>
        </w:rPr>
        <w:t xml:space="preserve">. </w:t>
      </w:r>
    </w:p>
    <w:p w:rsidR="0009304A" w:rsidRDefault="008D11C7">
      <w:pPr>
        <w:tabs>
          <w:tab w:val="left" w:pos="1860"/>
        </w:tabs>
        <w:rPr>
          <w:rFonts w:ascii="Arial" w:eastAsia="Arial" w:hAnsi="Arial" w:cs="Arial"/>
          <w:sz w:val="16"/>
          <w:szCs w:val="16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</w:p>
    <w:sectPr w:rsidR="000930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87" w:right="1417" w:bottom="1145" w:left="1417" w:header="720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3AF" w:rsidRDefault="008D11C7">
      <w:pPr>
        <w:spacing w:after="0" w:line="240" w:lineRule="auto"/>
      </w:pPr>
      <w:r>
        <w:separator/>
      </w:r>
    </w:p>
  </w:endnote>
  <w:endnote w:type="continuationSeparator" w:id="0">
    <w:p w:rsidR="003523AF" w:rsidRDefault="008D1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04A" w:rsidRDefault="008D11C7">
    <w:pPr>
      <w:spacing w:after="0" w:line="259" w:lineRule="auto"/>
      <w:ind w:left="0" w:firstLine="0"/>
      <w:jc w:val="left"/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separate"/>
    </w:r>
    <w:r w:rsidR="000A19DC">
      <w:rPr>
        <w:b/>
        <w:noProof/>
        <w:sz w:val="20"/>
        <w:szCs w:val="20"/>
      </w:rPr>
      <w:t>2</w:t>
    </w:r>
    <w:r>
      <w:rPr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04A" w:rsidRDefault="008D11C7">
    <w:pPr>
      <w:spacing w:after="0" w:line="259" w:lineRule="auto"/>
      <w:ind w:left="0" w:firstLine="0"/>
      <w:jc w:val="right"/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separate"/>
    </w:r>
    <w:r w:rsidR="000A19DC">
      <w:rPr>
        <w:b/>
        <w:noProof/>
        <w:sz w:val="20"/>
        <w:szCs w:val="20"/>
      </w:rPr>
      <w:t>1</w:t>
    </w:r>
    <w:r>
      <w:rPr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04A" w:rsidRDefault="008D11C7">
    <w:pPr>
      <w:spacing w:after="0" w:line="259" w:lineRule="auto"/>
      <w:ind w:left="0" w:firstLine="0"/>
      <w:jc w:val="left"/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3AF" w:rsidRDefault="008D11C7">
      <w:pPr>
        <w:spacing w:after="0" w:line="240" w:lineRule="auto"/>
      </w:pPr>
      <w:r>
        <w:separator/>
      </w:r>
    </w:p>
  </w:footnote>
  <w:footnote w:type="continuationSeparator" w:id="0">
    <w:p w:rsidR="003523AF" w:rsidRDefault="008D1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04A" w:rsidRDefault="0009304A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04A" w:rsidRDefault="0009304A">
    <w:pPr>
      <w:tabs>
        <w:tab w:val="center" w:pos="4252"/>
        <w:tab w:val="right" w:pos="8504"/>
      </w:tabs>
      <w:spacing w:after="0" w:line="240" w:lineRule="auto"/>
      <w:ind w:left="0" w:firstLine="0"/>
      <w:jc w:val="left"/>
      <w:rPr>
        <w:rFonts w:ascii="Arial" w:eastAsia="Arial" w:hAnsi="Arial" w:cs="Arial"/>
        <w:color w:val="000000"/>
      </w:rPr>
    </w:pPr>
  </w:p>
  <w:tbl>
    <w:tblPr>
      <w:tblStyle w:val="a8"/>
      <w:tblW w:w="1048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80"/>
      <w:gridCol w:w="8000"/>
    </w:tblGrid>
    <w:tr w:rsidR="0009304A">
      <w:trPr>
        <w:trHeight w:val="1418"/>
        <w:jc w:val="center"/>
      </w:trPr>
      <w:tc>
        <w:tcPr>
          <w:tcW w:w="2480" w:type="dxa"/>
          <w:vAlign w:val="center"/>
        </w:tcPr>
        <w:p w:rsidR="0009304A" w:rsidRDefault="00457D96">
          <w:pPr>
            <w:tabs>
              <w:tab w:val="center" w:pos="4252"/>
              <w:tab w:val="right" w:pos="8504"/>
            </w:tabs>
            <w:ind w:left="0" w:firstLine="0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238125</wp:posOffset>
                </wp:positionH>
                <wp:positionV relativeFrom="paragraph">
                  <wp:posOffset>153035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00" w:type="dxa"/>
          <w:vAlign w:val="center"/>
        </w:tcPr>
        <w:p w:rsidR="0009304A" w:rsidRDefault="008D11C7">
          <w:pPr>
            <w:tabs>
              <w:tab w:val="center" w:pos="4252"/>
              <w:tab w:val="right" w:pos="8504"/>
            </w:tabs>
            <w:ind w:left="0" w:hanging="108"/>
            <w:jc w:val="center"/>
            <w:rPr>
              <w:rFonts w:ascii="Arial" w:eastAsia="Arial" w:hAnsi="Arial" w:cs="Arial"/>
              <w:b/>
              <w:color w:val="000000"/>
              <w:sz w:val="26"/>
              <w:szCs w:val="26"/>
            </w:rPr>
          </w:pPr>
          <w:r>
            <w:rPr>
              <w:rFonts w:ascii="Arial" w:eastAsia="Arial" w:hAnsi="Arial" w:cs="Arial"/>
              <w:b/>
              <w:color w:val="000000"/>
              <w:sz w:val="26"/>
              <w:szCs w:val="26"/>
            </w:rPr>
            <w:t>Tribunal de Contas do Estado de Goiás</w:t>
          </w:r>
        </w:p>
        <w:p w:rsidR="0009304A" w:rsidRDefault="008D11C7">
          <w:pPr>
            <w:tabs>
              <w:tab w:val="center" w:pos="4252"/>
              <w:tab w:val="right" w:pos="8504"/>
            </w:tabs>
            <w:ind w:left="0" w:hanging="108"/>
            <w:jc w:val="center"/>
            <w:rPr>
              <w:rFonts w:ascii="Arial" w:eastAsia="Arial" w:hAnsi="Arial" w:cs="Arial"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color w:val="000000"/>
              <w:sz w:val="24"/>
              <w:szCs w:val="24"/>
            </w:rPr>
            <w:t>Secretaria de Controle Externo</w:t>
          </w:r>
        </w:p>
        <w:p w:rsidR="0009304A" w:rsidRDefault="008D11C7">
          <w:pPr>
            <w:tabs>
              <w:tab w:val="center" w:pos="4252"/>
              <w:tab w:val="right" w:pos="8504"/>
            </w:tabs>
            <w:ind w:left="0"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09304A" w:rsidRDefault="008D11C7">
          <w:pPr>
            <w:tabs>
              <w:tab w:val="center" w:pos="4252"/>
              <w:tab w:val="right" w:pos="8504"/>
            </w:tabs>
            <w:ind w:left="0" w:hanging="108"/>
            <w:jc w:val="center"/>
            <w:rPr>
              <w:rFonts w:ascii="Arial" w:eastAsia="Arial" w:hAnsi="Arial" w:cs="Arial"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09304A" w:rsidRDefault="0009304A">
    <w:pPr>
      <w:tabs>
        <w:tab w:val="center" w:pos="4252"/>
        <w:tab w:val="right" w:pos="8504"/>
      </w:tabs>
      <w:spacing w:after="0" w:line="240" w:lineRule="auto"/>
      <w:ind w:left="0" w:firstLine="0"/>
      <w:jc w:val="left"/>
      <w:rPr>
        <w:rFonts w:ascii="Arial" w:eastAsia="Arial" w:hAnsi="Arial" w:cs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04A" w:rsidRDefault="0009304A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CD04DD"/>
    <w:multiLevelType w:val="hybridMultilevel"/>
    <w:tmpl w:val="021ADB62"/>
    <w:lvl w:ilvl="0" w:tplc="CE72AB3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4A"/>
    <w:rsid w:val="0009304A"/>
    <w:rsid w:val="000A19DC"/>
    <w:rsid w:val="000D41B2"/>
    <w:rsid w:val="003523AF"/>
    <w:rsid w:val="00457D96"/>
    <w:rsid w:val="00513E53"/>
    <w:rsid w:val="008D11C7"/>
    <w:rsid w:val="00AC7FB7"/>
    <w:rsid w:val="00C53728"/>
    <w:rsid w:val="00FC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BC973C-13C3-4FDA-AE8F-5450ACAA4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181717"/>
        <w:sz w:val="22"/>
        <w:szCs w:val="22"/>
        <w:lang w:val="pt-BR" w:eastAsia="pt-BR" w:bidi="ar-SA"/>
      </w:rPr>
    </w:rPrDefault>
    <w:pPrDefault>
      <w:pPr>
        <w:spacing w:after="315" w:line="270" w:lineRule="auto"/>
        <w:ind w:left="8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ind w:hanging="8"/>
    </w:p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211" w:line="268" w:lineRule="auto"/>
      <w:ind w:left="10" w:hanging="10"/>
      <w:outlineLvl w:val="0"/>
    </w:pPr>
    <w:rPr>
      <w:b/>
      <w:color w:val="4D6FA3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211" w:line="268" w:lineRule="auto"/>
      <w:ind w:left="10" w:hanging="10"/>
      <w:outlineLvl w:val="1"/>
    </w:pPr>
    <w:rPr>
      <w:b/>
      <w:color w:val="4D6FA3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211" w:line="268" w:lineRule="auto"/>
      <w:ind w:left="10" w:hanging="10"/>
      <w:outlineLvl w:val="2"/>
    </w:pPr>
    <w:rPr>
      <w:b/>
      <w:color w:val="4D6FA3"/>
    </w:rPr>
  </w:style>
  <w:style w:type="paragraph" w:styleId="Ttulo4">
    <w:name w:val="heading 4"/>
    <w:next w:val="Normal"/>
    <w:link w:val="Ttulo4Char"/>
    <w:uiPriority w:val="9"/>
    <w:unhideWhenUsed/>
    <w:qFormat/>
    <w:pPr>
      <w:keepNext/>
      <w:keepLines/>
      <w:spacing w:after="257" w:line="265" w:lineRule="auto"/>
      <w:ind w:left="10" w:right="1" w:hanging="10"/>
      <w:jc w:val="center"/>
      <w:outlineLvl w:val="3"/>
    </w:pPr>
    <w:rPr>
      <w:b/>
      <w:color w:val="4D6FA3"/>
      <w:sz w:val="18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"/>
    <w:link w:val="footnotedescriptionChar"/>
    <w:hidden/>
    <w:pPr>
      <w:spacing w:after="0"/>
      <w:ind w:left="2"/>
    </w:pPr>
    <w:rPr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181717"/>
      <w:sz w:val="16"/>
    </w:rPr>
  </w:style>
  <w:style w:type="character" w:customStyle="1" w:styleId="Ttulo4Char">
    <w:name w:val="Título 4 Char"/>
    <w:link w:val="Ttulo4"/>
    <w:rPr>
      <w:rFonts w:ascii="Calibri" w:eastAsia="Calibri" w:hAnsi="Calibri" w:cs="Calibri"/>
      <w:b/>
      <w:color w:val="4D6FA3"/>
      <w:sz w:val="18"/>
    </w:rPr>
  </w:style>
  <w:style w:type="character" w:customStyle="1" w:styleId="Ttulo2Char">
    <w:name w:val="Título 2 Char"/>
    <w:link w:val="Ttulo2"/>
    <w:rPr>
      <w:rFonts w:ascii="Calibri" w:eastAsia="Calibri" w:hAnsi="Calibri" w:cs="Calibri"/>
      <w:b/>
      <w:color w:val="4D6FA3"/>
      <w:sz w:val="22"/>
    </w:rPr>
  </w:style>
  <w:style w:type="character" w:customStyle="1" w:styleId="Ttulo3Char">
    <w:name w:val="Título 3 Char"/>
    <w:link w:val="Ttulo3"/>
    <w:rPr>
      <w:rFonts w:ascii="Calibri" w:eastAsia="Calibri" w:hAnsi="Calibri" w:cs="Calibri"/>
      <w:b/>
      <w:color w:val="4D6FA3"/>
      <w:sz w:val="22"/>
    </w:rPr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4D6FA3"/>
      <w:sz w:val="22"/>
    </w:rPr>
  </w:style>
  <w:style w:type="paragraph" w:styleId="Sumrio1">
    <w:name w:val="toc 1"/>
    <w:hidden/>
    <w:pPr>
      <w:ind w:left="15" w:right="15"/>
    </w:pPr>
    <w:rPr>
      <w:color w:val="00000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181717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0A1D0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A1D0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A1D0D"/>
    <w:rPr>
      <w:rFonts w:ascii="Calibri" w:eastAsia="Calibri" w:hAnsi="Calibri" w:cs="Calibri"/>
      <w:color w:val="181717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A1D0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A1D0D"/>
    <w:rPr>
      <w:rFonts w:ascii="Calibri" w:eastAsia="Calibri" w:hAnsi="Calibri" w:cs="Calibri"/>
      <w:b/>
      <w:bCs/>
      <w:color w:val="181717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A1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1D0D"/>
    <w:rPr>
      <w:rFonts w:ascii="Segoe UI" w:eastAsia="Calibri" w:hAnsi="Segoe UI" w:cs="Segoe UI"/>
      <w:color w:val="181717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E82734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82734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79" w:type="dxa"/>
        <w:left w:w="80" w:type="dxa"/>
        <w:right w:w="34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top w:w="80" w:type="dxa"/>
        <w:right w:w="115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FC3B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rvey.tce.go.gov.br/index.php/admin/authentication/sa/login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QaXxODtXUg23iMh19q1zBw/+SQ==">CgMxLjAyCGguZ2pkZ3hzOAByITFJV3Z5VG5mWTduTmp3WDVMSXNzR0lrdS1iN05Ed1BpTw==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664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Fagundes Lima</dc:creator>
  <cp:lastModifiedBy>Andrea Calixto Abdalla Ribeiro</cp:lastModifiedBy>
  <cp:revision>8</cp:revision>
  <dcterms:created xsi:type="dcterms:W3CDTF">2024-02-08T13:09:00Z</dcterms:created>
  <dcterms:modified xsi:type="dcterms:W3CDTF">2025-08-04T13:16:00Z</dcterms:modified>
</cp:coreProperties>
</file>